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WQMS-HSEC-WSTE-002-2025</w:t>
      </w:r>
    </w:p>
    <w:p>
      <w:r>
        <w:t>Policy Title: Hazardous Waste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ensure the safe handling, storage, and disposal of hazardous waste in order to protect employees, the community, and the environment, and to comply with legal and regulatory requirements.</w:t>
      </w:r>
    </w:p>
    <w:p>
      <w:pPr>
        <w:pStyle w:val="Heading2"/>
      </w:pPr>
      <w:r>
        <w:t>2. Scope</w:t>
      </w:r>
    </w:p>
    <w:p>
      <w:r>
        <w:t>This policy applies to all employees, contractors, and visitors involved in the generation, handling, transportation, or disposal of hazardous waste at company sites.</w:t>
      </w:r>
    </w:p>
    <w:p>
      <w:pPr>
        <w:pStyle w:val="Heading2"/>
      </w:pPr>
      <w:r>
        <w:t>3. Definitions</w:t>
      </w:r>
    </w:p>
    <w:p>
      <w:r>
        <w:t>- Hazardous Waste: Any waste material that poses a risk to health, safety, or the environment, including but not limited to chemicals, solvents, oils, batteries, and contaminated materials.</w:t>
        <w:br/>
        <w:t>- Disposal: The process of discarding hazardous waste in accordance with approved legal and environmental procedures.</w:t>
      </w:r>
    </w:p>
    <w:p>
      <w:pPr>
        <w:pStyle w:val="Heading2"/>
      </w:pPr>
      <w:r>
        <w:t>4. Policy Statements</w:t>
      </w:r>
    </w:p>
    <w:p>
      <w:r>
        <w:t>1. All hazardous waste must be identified, labelled, and handled in compliance with relevant legislation and environmental standards.</w:t>
        <w:br/>
        <w:t>2. Hazardous waste must be stored in approved containers with clear labelling.</w:t>
        <w:br/>
        <w:t>3. Employees handling hazardous waste must receive training in proper procedures and use of PPE.</w:t>
        <w:br/>
        <w:t>4. Disposal of hazardous waste shall only be carried out by licensed contractors or facilities approved by management.</w:t>
        <w:br/>
        <w:t>5. Spills or leaks must be reported immediately to supervisors and managed under the company’s emergency response plan.</w:t>
        <w:br/>
        <w:t>6. Records of hazardous waste generation, storage, and disposal must be maintained by the HSEC department.</w:t>
      </w:r>
    </w:p>
    <w:p>
      <w:pPr>
        <w:pStyle w:val="Heading2"/>
      </w:pPr>
      <w:r>
        <w:t>5. Procedures</w:t>
      </w:r>
    </w:p>
    <w:p>
      <w:r>
        <w:t>- Identify and segregate hazardous waste from general waste.</w:t>
        <w:br/>
        <w:t>- Place hazardous waste in labelled, sealed containers.</w:t>
        <w:br/>
        <w:t>- Store containers in designated hazardous waste areas with secondary containment.</w:t>
        <w:br/>
        <w:t>- Complete a Hazardous Waste Disposal Form before transport.</w:t>
        <w:br/>
        <w:t>- Use only approved contractors for removal and disposal.</w:t>
        <w:br/>
        <w:t>- Maintain records of all hazardous waste transfers for a minimum of 5 years.</w:t>
      </w:r>
    </w:p>
    <w:p>
      <w:pPr>
        <w:pStyle w:val="Heading2"/>
      </w:pPr>
      <w:r>
        <w:t>6. Responsibilities</w:t>
      </w:r>
    </w:p>
    <w:p>
      <w:r>
        <w:t>- Employees: Follow all hazardous waste handling procedures and report unsafe conditions.</w:t>
        <w:br/>
        <w:t>- Supervisors: Ensure employees are trained and that hazardous waste areas are inspected regularly.</w:t>
        <w:br/>
        <w:t>- HSEC Department: Maintain records, arrange disposal, and ensure compliance with legislation.</w:t>
        <w:br/>
        <w:t>- Contractors: Must be licensed and comply with all relevant environmental and safety laws.</w:t>
      </w:r>
    </w:p>
    <w:p>
      <w:pPr>
        <w:pStyle w:val="Heading2"/>
      </w:pPr>
      <w:r>
        <w:t>7. Review &amp; Amendments</w:t>
      </w:r>
    </w:p>
    <w:p>
      <w:r>
        <w:t>This policy will be reviewed annually or when legal or operational changes occur, and updated as required.</w:t>
      </w:r>
    </w:p>
    <w:p>
      <w:r>
        <w:br/>
        <w:t>WaveCrest Quality Management System – HRTest © 2025</w:t>
        <w:br/>
        <w:t>Policy Code: WQMS-HSEC-WSTE-002-2025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