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WQMS-GOV-146-2025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Corporate Governance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principles of accountability, transparency, and integrity in corporate governance.</w:t>
      </w:r>
    </w:p>
    <w:p>
      <w:pPr>
        <w:pStyle w:val="Heading3"/>
      </w:pPr>
      <w:r>
        <w:t>2. Scope</w:t>
      </w:r>
    </w:p>
    <w:p>
      <w:r>
        <w:t>This policy applies to the Board of Directors, management, and all employees of the company.</w:t>
      </w:r>
    </w:p>
    <w:p>
      <w:pPr>
        <w:pStyle w:val="Heading3"/>
      </w:pPr>
      <w:r>
        <w:t>3. Definitions</w:t>
      </w:r>
    </w:p>
    <w:p>
      <w:r>
        <w:t>- Corporate Governance: Framework of rules and practices ensuring accountability, fairness, and transparency.</w:t>
        <w:br/>
        <w:t>- Board of Directors: Group of individuals overseeing company management.</w:t>
      </w:r>
    </w:p>
    <w:p>
      <w:pPr>
        <w:pStyle w:val="Heading3"/>
      </w:pPr>
      <w:r>
        <w:t>4. Policy Statements</w:t>
      </w:r>
    </w:p>
    <w:p>
      <w:r>
        <w:t>1. Governance must align with national laws and international standards.</w:t>
        <w:br/>
        <w:t>2. The Board must act in the best interests of shareholders and stakeholders.</w:t>
        <w:br/>
        <w:t>3. Transparency in decision-making and reporting is required.</w:t>
        <w:br/>
        <w:t>4. Conflicts of interest must be disclosed.</w:t>
        <w:br/>
        <w:t>5. Corporate governance practices must be continuously improved.</w:t>
      </w:r>
    </w:p>
    <w:p>
      <w:pPr>
        <w:pStyle w:val="Heading3"/>
      </w:pPr>
      <w:r>
        <w:t>5. Procedures</w:t>
      </w:r>
    </w:p>
    <w:p>
      <w:r>
        <w:t>- Hold regular Board meetings with documented minutes.</w:t>
        <w:br/>
        <w:t>- Ensure independent directors on the Board.</w:t>
        <w:br/>
        <w:t>- Publish annual governance reports.</w:t>
        <w:br/>
        <w:t>- Conduct periodic governance reviews.</w:t>
        <w:br/>
        <w:t>- Disclose related-party transactions.</w:t>
      </w:r>
    </w:p>
    <w:p>
      <w:pPr>
        <w:pStyle w:val="Heading3"/>
      </w:pPr>
      <w:r>
        <w:t>6. Responsibilities</w:t>
      </w:r>
    </w:p>
    <w:p>
      <w:r>
        <w:t>- Board of Directors: Provide oversight and governance.</w:t>
        <w:br/>
        <w:t>- Executive Management: Implement governance framework.</w:t>
        <w:br/>
        <w:t>- Employees: Follow governance principles.</w:t>
        <w:br/>
        <w:t>- Internal Audit: Monitor governance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WQMS-GOV-146-2025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