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WQMS-FIN-TCM-022-2025</w:t>
      </w:r>
    </w:p>
    <w:p>
      <w:r>
        <w:t>Policy Title: Treasury &amp; Cash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efficient management of the company’s cash resources, maintain adequate liquidity, safeguard funds, and optimize returns while minimizing risks.</w:t>
      </w:r>
    </w:p>
    <w:p>
      <w:pPr>
        <w:pStyle w:val="Heading2"/>
      </w:pPr>
      <w:r>
        <w:t>2. Scope</w:t>
      </w:r>
    </w:p>
    <w:p>
      <w:r>
        <w:t>This policy applies to the Finance Department and any employee responsible for cash handling, banking, investments, and treasury operations.</w:t>
      </w:r>
    </w:p>
    <w:p>
      <w:pPr>
        <w:pStyle w:val="Heading2"/>
      </w:pPr>
      <w:r>
        <w:t>3. Definitions</w:t>
      </w:r>
    </w:p>
    <w:p>
      <w:r>
        <w:t>- Treasury Management: The management of the company’s financial assets, liabilities, investments, and cash flows.</w:t>
        <w:br/>
        <w:t>- Liquidity: The availability of cash to meet short-term obligations.</w:t>
        <w:br/>
        <w:t>- Cash Handling: The receipt, custody, and disbursement of company funds.</w:t>
      </w:r>
    </w:p>
    <w:p>
      <w:pPr>
        <w:pStyle w:val="Heading2"/>
      </w:pPr>
      <w:r>
        <w:t>4. Policy Statements</w:t>
      </w:r>
    </w:p>
    <w:p>
      <w:r>
        <w:t>1. The company must maintain sufficient liquidity to meet operational and financial obligations.</w:t>
        <w:br/>
        <w:t>2. All cash collections and disbursements must be accurately recorded and safeguarded.</w:t>
        <w:br/>
        <w:t>3. Banking relationships must be maintained with reputable, regulated institutions.</w:t>
        <w:br/>
        <w:t>4. Investments of surplus cash must prioritize security and liquidity over returns.</w:t>
        <w:br/>
        <w:t>5. Cash handling must follow strict segregation of duties and authorization protocols.</w:t>
        <w:br/>
        <w:t>6. Unauthorized borrowing or lending of company funds is prohibited.</w:t>
        <w:br/>
        <w:t>7. Treasury operations must comply with applicable financial laws and regulations.</w:t>
      </w:r>
    </w:p>
    <w:p>
      <w:pPr>
        <w:pStyle w:val="Heading2"/>
      </w:pPr>
      <w:r>
        <w:t>5. Procedures</w:t>
      </w:r>
    </w:p>
    <w:p>
      <w:r>
        <w:t>- Cash Flow Forecasting: Finance must prepare rolling forecasts to monitor liquidity.</w:t>
        <w:br/>
        <w:t>- Collections: All cash and cheque receipts must be deposited daily into company bank accounts.</w:t>
        <w:br/>
        <w:t>- Payments: Disbursements must be made via electronic transfer wherever possible.</w:t>
        <w:br/>
        <w:t>- Bank Reconciliation: Monthly reconciliations must be performed for all bank accounts.</w:t>
        <w:br/>
        <w:t>- Investments: Surplus funds may only be invested in approved instruments (e.g., fixed deposits).</w:t>
        <w:br/>
        <w:t>- Borrowing: Any borrowing requires approval from senior management and board of directors.</w:t>
      </w:r>
    </w:p>
    <w:p>
      <w:pPr>
        <w:pStyle w:val="Heading2"/>
      </w:pPr>
      <w:r>
        <w:t>6. Responsibilities</w:t>
      </w:r>
    </w:p>
    <w:p>
      <w:r>
        <w:t>- Finance Department: Manage cash flows, maintain treasury records, ensure compliance.</w:t>
        <w:br/>
        <w:t>- Treasury Officer/Accountant: Execute cash transactions, reconcile accounts, report variances.</w:t>
        <w:br/>
        <w:t>- Managers: Authorize disbursements and review cash reports.</w:t>
        <w:br/>
        <w:t>- Internal Audit: Review treasury and cash handling practices.</w:t>
        <w:br/>
        <w:t>- Senior Management: Oversee cash management strategy and approve investments/borrowings.</w:t>
      </w:r>
    </w:p>
    <w:p>
      <w:pPr>
        <w:pStyle w:val="Heading2"/>
      </w:pPr>
      <w:r>
        <w:t>7. Review &amp; Amendments</w:t>
      </w:r>
    </w:p>
    <w:p>
      <w:r>
        <w:t>This policy will be reviewed annually or whenever significant financial or regulatory changes occur.</w:t>
      </w:r>
    </w:p>
    <w:p>
      <w:r>
        <w:br/>
        <w:t>WaveCrest Quality Management System – HRTest © 2025</w:t>
        <w:br/>
        <w:t>Policy Code: WQMS-FIN-TCM-022-2025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